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483D6D" w:rsidRDefault="006544C4" w:rsidP="00483D6D">
      <w:pPr>
        <w:jc w:val="center"/>
        <w:rPr>
          <w:lang w:val="fr-FR"/>
        </w:rPr>
      </w:pPr>
      <w:bookmarkStart w:id="0" w:name="_GoBack"/>
      <w:bookmarkEnd w:id="0"/>
    </w:p>
    <w:p w:rsidR="0094178F" w:rsidRPr="00483D6D" w:rsidRDefault="0094178F" w:rsidP="00483D6D">
      <w:pPr>
        <w:jc w:val="center"/>
        <w:rPr>
          <w:sz w:val="4"/>
          <w:szCs w:val="4"/>
          <w:lang w:val="fr-FR"/>
        </w:rPr>
      </w:pPr>
    </w:p>
    <w:p w:rsidR="006544C4" w:rsidRPr="00483D6D" w:rsidRDefault="000B3315" w:rsidP="00483D6D">
      <w:pPr>
        <w:pStyle w:val="DecHTitle"/>
        <w:rPr>
          <w:lang w:val="fr-FR"/>
        </w:rPr>
      </w:pPr>
      <w:r w:rsidRPr="00483D6D">
        <w:rPr>
          <w:szCs w:val="24"/>
          <w:lang w:val="fr-FR"/>
        </w:rPr>
        <w:t>PREMIÈRE SECTION</w:t>
      </w:r>
    </w:p>
    <w:p w:rsidR="006544C4" w:rsidRPr="00483D6D" w:rsidRDefault="006544C4" w:rsidP="00483D6D">
      <w:pPr>
        <w:pStyle w:val="DecHTitle"/>
        <w:rPr>
          <w:caps/>
          <w:sz w:val="32"/>
          <w:lang w:val="fr-FR"/>
        </w:rPr>
      </w:pPr>
      <w:r w:rsidRPr="00483D6D">
        <w:rPr>
          <w:lang w:val="fr-FR"/>
        </w:rPr>
        <w:t>DÉCISION</w:t>
      </w:r>
    </w:p>
    <w:p w:rsidR="006544C4" w:rsidRPr="00483D6D" w:rsidRDefault="000B3315" w:rsidP="00483D6D">
      <w:pPr>
        <w:pStyle w:val="ECHRTitleCentre2"/>
        <w:rPr>
          <w:lang w:val="fr-FR"/>
        </w:rPr>
      </w:pPr>
      <w:r w:rsidRPr="00483D6D">
        <w:rPr>
          <w:lang w:val="fr-FR"/>
        </w:rPr>
        <w:t>Requête n</w:t>
      </w:r>
      <w:r w:rsidRPr="00483D6D">
        <w:rPr>
          <w:vertAlign w:val="superscript"/>
          <w:lang w:val="fr-FR"/>
        </w:rPr>
        <w:t>o</w:t>
      </w:r>
      <w:r w:rsidR="006544C4" w:rsidRPr="00483D6D">
        <w:rPr>
          <w:lang w:val="fr-FR"/>
        </w:rPr>
        <w:t xml:space="preserve"> </w:t>
      </w:r>
      <w:r w:rsidRPr="00483D6D">
        <w:rPr>
          <w:lang w:val="fr-FR"/>
        </w:rPr>
        <w:t>39600/13</w:t>
      </w:r>
      <w:r w:rsidR="006544C4" w:rsidRPr="00483D6D">
        <w:rPr>
          <w:lang w:val="fr-FR"/>
        </w:rPr>
        <w:br/>
      </w:r>
      <w:r w:rsidRPr="00483D6D">
        <w:rPr>
          <w:lang w:val="fr-FR"/>
        </w:rPr>
        <w:t>Michele FARCHICA</w:t>
      </w:r>
      <w:r w:rsidRPr="00483D6D">
        <w:rPr>
          <w:lang w:val="fr-FR"/>
        </w:rPr>
        <w:br/>
      </w:r>
      <w:r w:rsidR="006544C4" w:rsidRPr="00483D6D">
        <w:rPr>
          <w:lang w:val="fr-FR"/>
        </w:rPr>
        <w:t xml:space="preserve">contre </w:t>
      </w:r>
      <w:r w:rsidRPr="00483D6D">
        <w:rPr>
          <w:lang w:val="fr-FR"/>
        </w:rPr>
        <w:t>l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Italie</w:t>
      </w:r>
    </w:p>
    <w:p w:rsidR="000B3315" w:rsidRPr="00483D6D" w:rsidRDefault="000B3315" w:rsidP="00483D6D">
      <w:pPr>
        <w:pStyle w:val="ECHRPara"/>
        <w:rPr>
          <w:lang w:val="fr-FR"/>
        </w:rPr>
      </w:pPr>
      <w:r w:rsidRPr="00483D6D">
        <w:rPr>
          <w:lang w:val="fr-FR"/>
        </w:rPr>
        <w:t>La Cour européenne des droits de l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homme (première section), siégeant le 28 mars 2017 en un comité composé de :</w:t>
      </w:r>
    </w:p>
    <w:p w:rsidR="000B3315" w:rsidRPr="00483D6D" w:rsidRDefault="000B3315" w:rsidP="00483D6D">
      <w:pPr>
        <w:pStyle w:val="ECHRDecisionBody"/>
        <w:rPr>
          <w:lang w:val="fr-FR"/>
        </w:rPr>
      </w:pPr>
      <w:r w:rsidRPr="00483D6D">
        <w:rPr>
          <w:lang w:val="fr-FR"/>
        </w:rPr>
        <w:tab/>
        <w:t>Ledi Bianku,</w:t>
      </w:r>
      <w:r w:rsidRPr="00483D6D">
        <w:rPr>
          <w:i/>
          <w:lang w:val="fr-FR"/>
        </w:rPr>
        <w:t xml:space="preserve"> président,</w:t>
      </w:r>
      <w:r w:rsidRPr="00483D6D">
        <w:rPr>
          <w:i/>
          <w:lang w:val="fr-FR"/>
        </w:rPr>
        <w:br/>
      </w:r>
      <w:r w:rsidRPr="00483D6D">
        <w:rPr>
          <w:lang w:val="fr-FR"/>
        </w:rPr>
        <w:tab/>
        <w:t>Aleš Pejchal,</w:t>
      </w:r>
      <w:r w:rsidRPr="00483D6D">
        <w:rPr>
          <w:i/>
          <w:lang w:val="fr-FR"/>
        </w:rPr>
        <w:br/>
      </w:r>
      <w:r w:rsidRPr="00483D6D">
        <w:rPr>
          <w:lang w:val="fr-FR"/>
        </w:rPr>
        <w:tab/>
        <w:t>Armen Harutyunyan,</w:t>
      </w:r>
      <w:r w:rsidRPr="00483D6D">
        <w:rPr>
          <w:i/>
          <w:lang w:val="fr-FR"/>
        </w:rPr>
        <w:t xml:space="preserve"> juges</w:t>
      </w:r>
      <w:proofErr w:type="gramStart"/>
      <w:r w:rsidRPr="00483D6D">
        <w:rPr>
          <w:i/>
          <w:lang w:val="fr-FR"/>
        </w:rPr>
        <w:t>,</w:t>
      </w:r>
      <w:proofErr w:type="gramEnd"/>
      <w:r w:rsidRPr="00483D6D">
        <w:rPr>
          <w:i/>
          <w:lang w:val="fr-FR"/>
        </w:rPr>
        <w:br/>
      </w:r>
      <w:r w:rsidRPr="00483D6D">
        <w:rPr>
          <w:lang w:val="fr-FR"/>
        </w:rPr>
        <w:t xml:space="preserve">et de </w:t>
      </w:r>
      <w:r w:rsidRPr="00483D6D">
        <w:rPr>
          <w:szCs w:val="24"/>
          <w:lang w:val="fr-FR"/>
        </w:rPr>
        <w:t>Renata Degener</w:t>
      </w:r>
      <w:r w:rsidRPr="00483D6D">
        <w:rPr>
          <w:lang w:val="fr-FR"/>
        </w:rPr>
        <w:t xml:space="preserve">, </w:t>
      </w:r>
      <w:r w:rsidRPr="00483D6D">
        <w:rPr>
          <w:i/>
          <w:lang w:val="fr-FR"/>
        </w:rPr>
        <w:t>g</w:t>
      </w:r>
      <w:r w:rsidRPr="00483D6D">
        <w:rPr>
          <w:i/>
          <w:szCs w:val="24"/>
          <w:lang w:val="fr-FR"/>
        </w:rPr>
        <w:t>reffière adjointe</w:t>
      </w:r>
      <w:r w:rsidRPr="00483D6D">
        <w:rPr>
          <w:i/>
          <w:iCs/>
          <w:lang w:val="fr-FR"/>
        </w:rPr>
        <w:t xml:space="preserve"> d</w:t>
      </w:r>
      <w:r w:rsidRPr="00483D6D">
        <w:rPr>
          <w:i/>
          <w:lang w:val="fr-FR"/>
        </w:rPr>
        <w:t>e section,</w:t>
      </w:r>
    </w:p>
    <w:p w:rsidR="000B3315" w:rsidRPr="00483D6D" w:rsidRDefault="000B3315" w:rsidP="00483D6D">
      <w:pPr>
        <w:pStyle w:val="ECHRPara"/>
        <w:rPr>
          <w:lang w:val="fr-FR"/>
        </w:rPr>
      </w:pPr>
      <w:r w:rsidRPr="00483D6D">
        <w:rPr>
          <w:lang w:val="fr-FR"/>
        </w:rPr>
        <w:t>Vu la requête susmentionnée introduite le 29 mai 2013,</w:t>
      </w:r>
    </w:p>
    <w:p w:rsidR="000B3315" w:rsidRPr="00483D6D" w:rsidRDefault="000B3315" w:rsidP="00483D6D">
      <w:pPr>
        <w:pStyle w:val="ECHRPara"/>
        <w:rPr>
          <w:lang w:val="fr-FR"/>
        </w:rPr>
      </w:pPr>
      <w:r w:rsidRPr="00483D6D">
        <w:rPr>
          <w:lang w:val="fr-FR"/>
        </w:rPr>
        <w:t>Vu la déclaration déposée par le Gouvernement défendeur le 12 janvier 2017 et invitant la Cour à rayer la requête du rôle, ainsi que la réponse de la partie requérante</w:t>
      </w:r>
      <w:r w:rsidRPr="00483D6D">
        <w:rPr>
          <w:b/>
          <w:szCs w:val="24"/>
          <w:lang w:val="fr-FR"/>
        </w:rPr>
        <w:t xml:space="preserve"> </w:t>
      </w:r>
      <w:r w:rsidRPr="00483D6D">
        <w:rPr>
          <w:lang w:val="fr-FR"/>
        </w:rPr>
        <w:t>à cette déclaration ;</w:t>
      </w:r>
    </w:p>
    <w:p w:rsidR="000B3315" w:rsidRPr="00483D6D" w:rsidRDefault="000B3315" w:rsidP="00483D6D">
      <w:pPr>
        <w:pStyle w:val="ECHRPara"/>
        <w:rPr>
          <w:lang w:val="fr-FR"/>
        </w:rPr>
      </w:pPr>
      <w:r w:rsidRPr="00483D6D">
        <w:rPr>
          <w:lang w:val="fr-FR"/>
        </w:rPr>
        <w:t>Après en avoir délibéré, rend la décision suivante :</w:t>
      </w:r>
    </w:p>
    <w:p w:rsidR="000B3315" w:rsidRPr="00483D6D" w:rsidRDefault="000B3315" w:rsidP="00483D6D">
      <w:pPr>
        <w:pStyle w:val="ECHRTitle1"/>
        <w:rPr>
          <w:lang w:val="fr-FR"/>
        </w:rPr>
      </w:pPr>
      <w:r w:rsidRPr="00483D6D">
        <w:rPr>
          <w:lang w:val="fr-FR"/>
        </w:rPr>
        <w:t>FAITS ET PROCÉDURE</w:t>
      </w:r>
    </w:p>
    <w:p w:rsidR="000B3315" w:rsidRPr="00483D6D" w:rsidRDefault="000B3315" w:rsidP="00483D6D">
      <w:pPr>
        <w:pStyle w:val="ECHRPara"/>
        <w:rPr>
          <w:lang w:val="fr-FR"/>
        </w:rPr>
      </w:pPr>
      <w:r w:rsidRPr="00483D6D">
        <w:rPr>
          <w:lang w:val="fr-FR"/>
        </w:rPr>
        <w:t>Le requérant, M. Michele Farchica, est un ressortissant italien né en 1972 et résidant à Palerme. Il a été représenté devant la Cour par M</w:t>
      </w:r>
      <w:r w:rsidRPr="00483D6D">
        <w:rPr>
          <w:vertAlign w:val="superscript"/>
          <w:lang w:val="fr-FR"/>
        </w:rPr>
        <w:t>e</w:t>
      </w:r>
      <w:r w:rsidRPr="00483D6D">
        <w:rPr>
          <w:lang w:val="fr-FR"/>
        </w:rPr>
        <w:t> M. Comande, avocat à Palerme.</w:t>
      </w:r>
    </w:p>
    <w:p w:rsidR="000B3315" w:rsidRPr="00483D6D" w:rsidRDefault="000B3315" w:rsidP="00483D6D">
      <w:pPr>
        <w:pStyle w:val="ECHRPara"/>
        <w:rPr>
          <w:lang w:val="fr-FR"/>
        </w:rPr>
      </w:pPr>
      <w:r w:rsidRPr="00483D6D">
        <w:rPr>
          <w:lang w:val="fr-FR"/>
        </w:rPr>
        <w:t xml:space="preserve">Le gouvernement italien (« le Gouvernement ») a été représenté par son </w:t>
      </w:r>
      <w:r w:rsidRPr="00483D6D">
        <w:rPr>
          <w:rFonts w:ascii="Times New Roman" w:hAnsi="Times New Roman" w:cs="Times New Roman"/>
          <w:color w:val="000000"/>
          <w:lang w:val="fr-FR"/>
        </w:rPr>
        <w:t>agent, M</w:t>
      </w:r>
      <w:r w:rsidRPr="00483D6D">
        <w:rPr>
          <w:rFonts w:ascii="Times New Roman" w:hAnsi="Times New Roman" w:cs="Times New Roman"/>
          <w:color w:val="000000"/>
          <w:vertAlign w:val="superscript"/>
          <w:lang w:val="fr-FR"/>
        </w:rPr>
        <w:t>me</w:t>
      </w:r>
      <w:r w:rsidRPr="00483D6D">
        <w:rPr>
          <w:rFonts w:ascii="Times New Roman" w:hAnsi="Times New Roman" w:cs="Times New Roman"/>
          <w:color w:val="000000"/>
          <w:lang w:val="fr-FR"/>
        </w:rPr>
        <w:t xml:space="preserve"> E. Spatafora</w:t>
      </w:r>
      <w:r w:rsidRPr="00483D6D">
        <w:rPr>
          <w:lang w:val="fr-FR"/>
        </w:rPr>
        <w:t>.</w:t>
      </w:r>
    </w:p>
    <w:p w:rsidR="000B3315" w:rsidRPr="00483D6D" w:rsidRDefault="000B3315" w:rsidP="00483D6D">
      <w:pPr>
        <w:pStyle w:val="ECHRPara"/>
        <w:rPr>
          <w:rFonts w:ascii="Times New Roman" w:eastAsiaTheme="minorHAnsi" w:hAnsi="Times New Roman" w:cs="Times New Roman"/>
          <w:color w:val="000000"/>
          <w:szCs w:val="24"/>
          <w:lang w:val="fr-FR"/>
        </w:rPr>
      </w:pPr>
      <w:r w:rsidRPr="00483D6D">
        <w:rPr>
          <w:lang w:val="fr-FR"/>
        </w:rPr>
        <w:t>Invoquant les articles 8 et 14 de la Convention, le requérant se plaignait que le</w:t>
      </w:r>
      <w:r w:rsidRPr="00483D6D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 refus de lui octroyer un congé parental constituait une discrimination fondée sur le sexe.</w:t>
      </w:r>
    </w:p>
    <w:p w:rsidR="000B3315" w:rsidRPr="00483D6D" w:rsidRDefault="000B3315" w:rsidP="00483D6D">
      <w:pPr>
        <w:pStyle w:val="ECHRPara"/>
        <w:rPr>
          <w:lang w:val="fr-FR"/>
        </w:rPr>
      </w:pPr>
      <w:r w:rsidRPr="00483D6D">
        <w:rPr>
          <w:lang w:val="fr-FR"/>
        </w:rPr>
        <w:t xml:space="preserve">La requête </w:t>
      </w:r>
      <w:r w:rsidRPr="00483D6D">
        <w:rPr>
          <w:bCs/>
          <w:szCs w:val="24"/>
          <w:lang w:val="fr-FR" w:eastAsia="en-GB"/>
        </w:rPr>
        <w:t>avait été communiquée</w:t>
      </w:r>
      <w:r w:rsidRPr="00483D6D">
        <w:rPr>
          <w:lang w:val="fr-FR"/>
        </w:rPr>
        <w:t xml:space="preserve"> </w:t>
      </w:r>
      <w:r w:rsidRPr="00483D6D">
        <w:rPr>
          <w:szCs w:val="24"/>
          <w:lang w:val="fr-FR" w:eastAsia="en-GB"/>
        </w:rPr>
        <w:t>a</w:t>
      </w:r>
      <w:r w:rsidRPr="00483D6D">
        <w:rPr>
          <w:color w:val="000000"/>
          <w:szCs w:val="24"/>
          <w:lang w:val="fr-FR" w:eastAsia="en-GB"/>
        </w:rPr>
        <w:t>u Gouvernement</w:t>
      </w:r>
      <w:r w:rsidRPr="00483D6D">
        <w:rPr>
          <w:color w:val="0000FF"/>
          <w:szCs w:val="24"/>
          <w:lang w:val="fr-FR" w:eastAsia="en-GB"/>
        </w:rPr>
        <w:t>.</w:t>
      </w:r>
    </w:p>
    <w:p w:rsidR="000B3315" w:rsidRPr="00483D6D" w:rsidRDefault="000B3315" w:rsidP="00483D6D">
      <w:pPr>
        <w:pStyle w:val="ECHRTitle1"/>
        <w:rPr>
          <w:lang w:val="fr-FR"/>
        </w:rPr>
      </w:pPr>
      <w:r w:rsidRPr="00483D6D">
        <w:rPr>
          <w:lang w:val="fr-FR"/>
        </w:rPr>
        <w:lastRenderedPageBreak/>
        <w:t>EN DROIT</w:t>
      </w:r>
    </w:p>
    <w:p w:rsidR="000B3315" w:rsidRPr="00483D6D" w:rsidRDefault="000B3315" w:rsidP="00483D6D">
      <w:pPr>
        <w:pStyle w:val="ECHRPara"/>
        <w:rPr>
          <w:lang w:val="fr-FR"/>
        </w:rPr>
      </w:pPr>
      <w:r w:rsidRPr="00483D6D">
        <w:rPr>
          <w:szCs w:val="24"/>
          <w:lang w:val="fr-FR"/>
        </w:rPr>
        <w:t>La partie requérante</w:t>
      </w:r>
      <w:r w:rsidRPr="00483D6D">
        <w:rPr>
          <w:lang w:val="fr-FR"/>
        </w:rPr>
        <w:t xml:space="preserve"> alléguait que le</w:t>
      </w:r>
      <w:r w:rsidRPr="00483D6D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 refus de lui octroyer un congé parental constituait une discrimination fondée sur le sexe</w:t>
      </w:r>
      <w:r w:rsidRPr="00483D6D">
        <w:rPr>
          <w:lang w:val="fr-FR"/>
        </w:rPr>
        <w:t>. Elle invoquait les articles 8 et 14 de la Convention.</w:t>
      </w:r>
    </w:p>
    <w:p w:rsidR="000B3315" w:rsidRPr="00483D6D" w:rsidRDefault="000B3315" w:rsidP="00483D6D">
      <w:pPr>
        <w:pStyle w:val="ECHRPara"/>
        <w:rPr>
          <w:szCs w:val="24"/>
          <w:lang w:val="fr-FR"/>
        </w:rPr>
      </w:pPr>
      <w:r w:rsidRPr="00483D6D">
        <w:rPr>
          <w:lang w:val="fr-FR"/>
        </w:rPr>
        <w:t>Après l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échec des tentatives de règlement amiable, par</w:t>
      </w:r>
      <w:r w:rsidRPr="00483D6D">
        <w:rPr>
          <w:szCs w:val="24"/>
          <w:lang w:val="fr-FR"/>
        </w:rPr>
        <w:t xml:space="preserve"> une lettre du </w:t>
      </w:r>
      <w:r w:rsidRPr="00483D6D">
        <w:rPr>
          <w:lang w:val="fr-FR"/>
        </w:rPr>
        <w:t>12 janvier 2017,</w:t>
      </w:r>
      <w:r w:rsidRPr="00483D6D">
        <w:rPr>
          <w:szCs w:val="24"/>
          <w:lang w:val="fr-FR"/>
        </w:rPr>
        <w:t xml:space="preserve"> le Gouvernement a informé la Cour qu</w:t>
      </w:r>
      <w:r w:rsidR="00483D6D" w:rsidRPr="00483D6D">
        <w:rPr>
          <w:szCs w:val="24"/>
          <w:lang w:val="fr-FR"/>
        </w:rPr>
        <w:t>’</w:t>
      </w:r>
      <w:r w:rsidRPr="00483D6D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483D6D">
        <w:rPr>
          <w:lang w:val="fr-FR"/>
        </w:rPr>
        <w:t>la requête</w:t>
      </w:r>
      <w:r w:rsidRPr="00483D6D">
        <w:rPr>
          <w:szCs w:val="24"/>
          <w:lang w:val="fr-FR"/>
        </w:rPr>
        <w:t>. Il a en outre invité la Cour à rayer celle-ci du rôle en application de l</w:t>
      </w:r>
      <w:r w:rsidR="00483D6D" w:rsidRPr="00483D6D">
        <w:rPr>
          <w:szCs w:val="24"/>
          <w:lang w:val="fr-FR"/>
        </w:rPr>
        <w:t>’</w:t>
      </w:r>
      <w:r w:rsidRPr="00483D6D">
        <w:rPr>
          <w:szCs w:val="24"/>
          <w:lang w:val="fr-FR"/>
        </w:rPr>
        <w:t>article 37 de la Convention.</w:t>
      </w:r>
    </w:p>
    <w:p w:rsidR="000B3315" w:rsidRPr="00483D6D" w:rsidRDefault="000B3315" w:rsidP="00483D6D">
      <w:pPr>
        <w:pStyle w:val="ECHRPara"/>
        <w:rPr>
          <w:lang w:val="fr-FR"/>
        </w:rPr>
      </w:pPr>
      <w:r w:rsidRPr="00483D6D">
        <w:rPr>
          <w:lang w:val="fr-FR"/>
        </w:rPr>
        <w:t>La déclaration était ainsi libellée :</w:t>
      </w:r>
    </w:p>
    <w:p w:rsidR="000B3315" w:rsidRPr="00483D6D" w:rsidRDefault="000B3315" w:rsidP="00483D6D">
      <w:pPr>
        <w:pStyle w:val="ECHRParaQuote"/>
        <w:rPr>
          <w:rFonts w:eastAsiaTheme="minorHAnsi"/>
          <w:lang w:val="fr-FR"/>
        </w:rPr>
      </w:pPr>
      <w:r w:rsidRPr="00483D6D">
        <w:rPr>
          <w:lang w:val="fr-FR"/>
        </w:rPr>
        <w:t>« </w:t>
      </w:r>
      <w:r w:rsidRPr="00483D6D">
        <w:rPr>
          <w:rFonts w:eastAsiaTheme="minorHAnsi"/>
          <w:lang w:val="fr-FR"/>
        </w:rPr>
        <w:t>Le Gouvernement italien, reconnaît que le requérant a subi la violation de l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article 14 combiné avec l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article 8 de la Convention, en raison de l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interprétation restrictive pratiquée à l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époque des faits, de l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article 40 c) du Décret législatif n.151/2001.</w:t>
      </w:r>
    </w:p>
    <w:p w:rsidR="000B3315" w:rsidRPr="00483D6D" w:rsidRDefault="000B3315" w:rsidP="00483D6D">
      <w:pPr>
        <w:pStyle w:val="ECHRParaQuote"/>
        <w:rPr>
          <w:rFonts w:eastAsiaTheme="minorHAnsi"/>
          <w:lang w:val="fr-FR"/>
        </w:rPr>
      </w:pPr>
      <w:r w:rsidRPr="00483D6D">
        <w:rPr>
          <w:rFonts w:eastAsiaTheme="minorHAnsi"/>
          <w:lang w:val="fr-FR"/>
        </w:rPr>
        <w:t>Le Gouvernement offre au requérant, au sens de l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 xml:space="preserve">article 62 A du règlement de la Cour, la </w:t>
      </w:r>
      <w:r w:rsidR="00F93DB4" w:rsidRPr="00483D6D">
        <w:rPr>
          <w:rFonts w:eastAsiaTheme="minorHAnsi"/>
          <w:lang w:val="fr-FR"/>
        </w:rPr>
        <w:t>somme de 5 </w:t>
      </w:r>
      <w:r w:rsidRPr="00483D6D">
        <w:rPr>
          <w:rFonts w:eastAsiaTheme="minorHAnsi"/>
          <w:lang w:val="fr-FR"/>
        </w:rPr>
        <w:t>000 (cinq mille) euros à titre de redressement pour tous les dommages, frais et dépenses confondus.</w:t>
      </w:r>
    </w:p>
    <w:p w:rsidR="000B3315" w:rsidRPr="00483D6D" w:rsidRDefault="000B3315" w:rsidP="00483D6D">
      <w:pPr>
        <w:pStyle w:val="ECHRParaQuote"/>
        <w:rPr>
          <w:rFonts w:eastAsiaTheme="minorHAnsi"/>
          <w:lang w:val="fr-FR"/>
        </w:rPr>
      </w:pPr>
      <w:r w:rsidRPr="00483D6D">
        <w:rPr>
          <w:rFonts w:eastAsiaTheme="minorHAnsi"/>
          <w:lang w:val="fr-FR"/>
        </w:rPr>
        <w:t>Cette somme sera payée dans les trois mois suivant la date de la notification de la décision de la Cour rendue conformément à l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article 37 § 1 de la Convention européenne des droits de l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homme. À défaut de règlement dans ledit délai, le Gouvernement s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engage à verser, à compter de l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expiration de celui-ci et jusqu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au règlement effectif de la somme en question, un intérêt simple à un taux égal à celui de la facilité de prêt marginal de la Banque central européenne, augmenté de trois points de pourcentage. Ce versement vaudra règlement définitif de l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affaire.</w:t>
      </w:r>
    </w:p>
    <w:p w:rsidR="000B3315" w:rsidRPr="00483D6D" w:rsidRDefault="000B3315" w:rsidP="00483D6D">
      <w:pPr>
        <w:pStyle w:val="ECHRParaQuote"/>
        <w:rPr>
          <w:rFonts w:eastAsiaTheme="minorHAnsi"/>
          <w:lang w:val="fr-FR"/>
        </w:rPr>
      </w:pPr>
      <w:r w:rsidRPr="00483D6D">
        <w:rPr>
          <w:rFonts w:eastAsiaTheme="minorHAnsi"/>
          <w:lang w:val="fr-FR"/>
        </w:rPr>
        <w:t>Le Gouvernement estime qu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il ne se justifie pas de poursuivre l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 xml:space="preserve">examen de la requête car le Décret Législatif du 26 mars 2001, n. 151- </w:t>
      </w:r>
      <w:r w:rsidRPr="00483D6D">
        <w:rPr>
          <w:rFonts w:eastAsiaTheme="minorHAnsi"/>
          <w:i/>
          <w:iCs/>
          <w:lang w:val="fr-FR"/>
        </w:rPr>
        <w:t>Texte unique des dispositions législatives en</w:t>
      </w:r>
      <w:r w:rsidRPr="00483D6D">
        <w:rPr>
          <w:rFonts w:eastAsiaTheme="minorHAnsi"/>
          <w:lang w:val="fr-FR"/>
        </w:rPr>
        <w:t xml:space="preserve"> </w:t>
      </w:r>
      <w:r w:rsidRPr="00483D6D">
        <w:rPr>
          <w:rFonts w:eastAsiaTheme="minorHAnsi"/>
          <w:i/>
          <w:iCs/>
          <w:lang w:val="fr-FR"/>
        </w:rPr>
        <w:t xml:space="preserve">matière de protection et de soutien de la maternité et de la paternité, </w:t>
      </w:r>
      <w:r w:rsidRPr="00483D6D">
        <w:rPr>
          <w:rFonts w:eastAsiaTheme="minorHAnsi"/>
          <w:lang w:val="fr-FR"/>
        </w:rPr>
        <w:t>à partir de l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arrêt n</w:t>
      </w:r>
      <w:r w:rsidRPr="00483D6D">
        <w:rPr>
          <w:rFonts w:eastAsiaTheme="minorHAnsi"/>
          <w:vertAlign w:val="superscript"/>
          <w:lang w:val="fr-FR"/>
        </w:rPr>
        <w:t>o</w:t>
      </w:r>
      <w:r w:rsidRPr="00483D6D">
        <w:rPr>
          <w:rFonts w:eastAsiaTheme="minorHAnsi"/>
          <w:lang w:val="fr-FR"/>
        </w:rPr>
        <w:t xml:space="preserve"> 4618/2014 du Conseil d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Etat est toujours interprété de façon conforme aux principes découlant de l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arrêt de la Cour dans l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 xml:space="preserve">affaire </w:t>
      </w:r>
      <w:r w:rsidRPr="00483D6D">
        <w:rPr>
          <w:rFonts w:eastAsiaTheme="minorHAnsi"/>
          <w:i/>
          <w:lang w:val="fr-FR"/>
        </w:rPr>
        <w:t>Konstantin Martin contre Russie</w:t>
      </w:r>
      <w:r w:rsidRPr="00483D6D">
        <w:rPr>
          <w:rFonts w:eastAsiaTheme="minorHAnsi"/>
          <w:lang w:val="fr-FR"/>
        </w:rPr>
        <w:t xml:space="preserve"> (n</w:t>
      </w:r>
      <w:r w:rsidRPr="00483D6D">
        <w:rPr>
          <w:rFonts w:eastAsiaTheme="minorHAnsi"/>
          <w:vertAlign w:val="superscript"/>
          <w:lang w:val="fr-FR"/>
        </w:rPr>
        <w:t>o</w:t>
      </w:r>
      <w:r w:rsidRPr="00483D6D">
        <w:rPr>
          <w:rFonts w:eastAsiaTheme="minorHAnsi"/>
          <w:lang w:val="fr-FR"/>
        </w:rPr>
        <w:t xml:space="preserve"> 30078/06).</w:t>
      </w:r>
    </w:p>
    <w:p w:rsidR="000B3315" w:rsidRPr="00483D6D" w:rsidRDefault="000B3315" w:rsidP="00483D6D">
      <w:pPr>
        <w:pStyle w:val="ECHRParaQuote"/>
        <w:rPr>
          <w:rFonts w:eastAsiaTheme="minorHAnsi"/>
          <w:lang w:val="fr-FR"/>
        </w:rPr>
      </w:pPr>
      <w:r w:rsidRPr="00483D6D">
        <w:rPr>
          <w:rFonts w:eastAsiaTheme="minorHAnsi"/>
          <w:lang w:val="fr-FR"/>
        </w:rPr>
        <w:t>Par conséquent, le Gouvernement invite respectueusement la Cour à dire qu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il ne se justifie plus de poursuivre l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examen de la requête et à la rayer du rôle conformément à l</w:t>
      </w:r>
      <w:r w:rsidR="00483D6D" w:rsidRPr="00483D6D">
        <w:rPr>
          <w:rFonts w:eastAsiaTheme="minorHAnsi"/>
          <w:lang w:val="fr-FR"/>
        </w:rPr>
        <w:t>’</w:t>
      </w:r>
      <w:r w:rsidRPr="00483D6D">
        <w:rPr>
          <w:rFonts w:eastAsiaTheme="minorHAnsi"/>
          <w:lang w:val="fr-FR"/>
        </w:rPr>
        <w:t>article 37 de la Convention.</w:t>
      </w:r>
      <w:r w:rsidRPr="00483D6D">
        <w:rPr>
          <w:lang w:val="fr-FR"/>
        </w:rPr>
        <w:t> »</w:t>
      </w:r>
    </w:p>
    <w:p w:rsidR="000B3315" w:rsidRPr="00483D6D" w:rsidRDefault="000B3315" w:rsidP="00483D6D">
      <w:pPr>
        <w:pStyle w:val="ECHRPara"/>
        <w:rPr>
          <w:rFonts w:ascii="Times New Roman" w:hAnsi="Times New Roman" w:cs="Times New Roman"/>
          <w:color w:val="000000"/>
          <w:lang w:val="fr-FR"/>
        </w:rPr>
      </w:pPr>
      <w:r w:rsidRPr="00483D6D">
        <w:rPr>
          <w:rFonts w:ascii="Times New Roman" w:hAnsi="Times New Roman" w:cs="Times New Roman"/>
          <w:color w:val="000000"/>
          <w:lang w:val="fr-FR"/>
        </w:rPr>
        <w:t>La partie requérante a indiqué qu</w:t>
      </w:r>
      <w:r w:rsidR="00483D6D" w:rsidRPr="00483D6D">
        <w:rPr>
          <w:rFonts w:ascii="Times New Roman" w:hAnsi="Times New Roman" w:cs="Times New Roman"/>
          <w:color w:val="000000"/>
          <w:lang w:val="fr-FR"/>
        </w:rPr>
        <w:t>’</w:t>
      </w:r>
      <w:r w:rsidRPr="00483D6D">
        <w:rPr>
          <w:rFonts w:ascii="Times New Roman" w:hAnsi="Times New Roman" w:cs="Times New Roman"/>
          <w:color w:val="000000"/>
          <w:lang w:val="fr-FR"/>
        </w:rPr>
        <w:t>elle n</w:t>
      </w:r>
      <w:r w:rsidR="00483D6D" w:rsidRPr="00483D6D">
        <w:rPr>
          <w:rFonts w:ascii="Times New Roman" w:hAnsi="Times New Roman" w:cs="Times New Roman"/>
          <w:color w:val="000000"/>
          <w:lang w:val="fr-FR"/>
        </w:rPr>
        <w:t>’</w:t>
      </w:r>
      <w:r w:rsidRPr="00483D6D">
        <w:rPr>
          <w:rFonts w:ascii="Times New Roman" w:hAnsi="Times New Roman" w:cs="Times New Roman"/>
          <w:color w:val="000000"/>
          <w:lang w:val="fr-FR"/>
        </w:rPr>
        <w:t>était pas satisfaite des termes de la déclaration unilatérale</w:t>
      </w:r>
      <w:r w:rsidRPr="00483D6D">
        <w:rPr>
          <w:color w:val="0000FF"/>
          <w:sz w:val="20"/>
          <w:szCs w:val="20"/>
          <w:lang w:val="fr-FR"/>
        </w:rPr>
        <w:t xml:space="preserve"> </w:t>
      </w:r>
      <w:r w:rsidRPr="00483D6D">
        <w:rPr>
          <w:rFonts w:ascii="Times New Roman" w:hAnsi="Times New Roman" w:cs="Times New Roman"/>
          <w:color w:val="000000"/>
          <w:lang w:val="fr-FR"/>
        </w:rPr>
        <w:t>au motif que la somme proposée serait insuffisante.</w:t>
      </w:r>
    </w:p>
    <w:p w:rsidR="000B3315" w:rsidRPr="00483D6D" w:rsidRDefault="000B3315" w:rsidP="00483D6D">
      <w:pPr>
        <w:pStyle w:val="ECHRPara"/>
        <w:rPr>
          <w:lang w:val="fr-FR"/>
        </w:rPr>
      </w:pPr>
      <w:r w:rsidRPr="00483D6D">
        <w:rPr>
          <w:szCs w:val="24"/>
          <w:lang w:val="fr-FR"/>
        </w:rPr>
        <w:t>La Cour rappelle qu</w:t>
      </w:r>
      <w:r w:rsidR="00483D6D" w:rsidRPr="00483D6D">
        <w:rPr>
          <w:szCs w:val="24"/>
          <w:lang w:val="fr-FR"/>
        </w:rPr>
        <w:t>’</w:t>
      </w:r>
      <w:r w:rsidRPr="00483D6D">
        <w:rPr>
          <w:szCs w:val="24"/>
          <w:lang w:val="fr-FR"/>
        </w:rPr>
        <w:t>en vertu de l</w:t>
      </w:r>
      <w:r w:rsidR="00483D6D" w:rsidRPr="00483D6D">
        <w:rPr>
          <w:szCs w:val="24"/>
          <w:lang w:val="fr-FR"/>
        </w:rPr>
        <w:t>’</w:t>
      </w:r>
      <w:r w:rsidRPr="00483D6D">
        <w:rPr>
          <w:szCs w:val="24"/>
          <w:lang w:val="fr-FR"/>
        </w:rPr>
        <w:t xml:space="preserve">article </w:t>
      </w:r>
      <w:r w:rsidRPr="00483D6D">
        <w:rPr>
          <w:lang w:val="fr-FR"/>
        </w:rPr>
        <w:t>37 de la Convention, à tout moment de la procédure, elle peut décider de rayer une requête du rôle lorsque les circonstances l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amènent à l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une des conclusions énoncées aux alinéas a), b) ou c) du paragraphe 1 de cet article. L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article 37 § 1 c) lui permet en particulier de rayer une affaire du rôle si :</w:t>
      </w:r>
    </w:p>
    <w:p w:rsidR="000B3315" w:rsidRPr="00483D6D" w:rsidRDefault="000B3315" w:rsidP="00483D6D">
      <w:pPr>
        <w:pStyle w:val="ECHRParaQuote"/>
        <w:rPr>
          <w:szCs w:val="24"/>
          <w:lang w:val="fr-FR"/>
        </w:rPr>
      </w:pPr>
      <w:r w:rsidRPr="00483D6D">
        <w:rPr>
          <w:lang w:val="fr-FR"/>
        </w:rPr>
        <w:t>« </w:t>
      </w:r>
      <w:proofErr w:type="gramStart"/>
      <w:r w:rsidRPr="00483D6D">
        <w:rPr>
          <w:lang w:val="fr-FR"/>
        </w:rPr>
        <w:t>pour</w:t>
      </w:r>
      <w:proofErr w:type="gramEnd"/>
      <w:r w:rsidRPr="00483D6D">
        <w:rPr>
          <w:lang w:val="fr-FR"/>
        </w:rPr>
        <w:t xml:space="preserve"> tout autre motif dont la Cour constate l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existence, il ne se justifie plus de poursuivre l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examen de la requête ».</w:t>
      </w:r>
    </w:p>
    <w:p w:rsidR="000B3315" w:rsidRPr="00483D6D" w:rsidRDefault="000B3315" w:rsidP="00483D6D">
      <w:pPr>
        <w:pStyle w:val="ECHRPara"/>
        <w:rPr>
          <w:szCs w:val="24"/>
          <w:lang w:val="fr-FR"/>
        </w:rPr>
      </w:pPr>
      <w:r w:rsidRPr="00483D6D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483D6D" w:rsidRPr="00483D6D">
        <w:rPr>
          <w:szCs w:val="24"/>
          <w:lang w:val="fr-FR"/>
        </w:rPr>
        <w:t>’</w:t>
      </w:r>
      <w:r w:rsidRPr="00483D6D">
        <w:rPr>
          <w:szCs w:val="24"/>
          <w:lang w:val="fr-FR"/>
        </w:rPr>
        <w:t xml:space="preserve">article 37 § 1 c) sur la </w:t>
      </w:r>
      <w:r w:rsidRPr="00483D6D">
        <w:rPr>
          <w:szCs w:val="24"/>
          <w:lang w:val="fr-FR"/>
        </w:rPr>
        <w:lastRenderedPageBreak/>
        <w:t>base d</w:t>
      </w:r>
      <w:r w:rsidR="00483D6D" w:rsidRPr="00483D6D">
        <w:rPr>
          <w:szCs w:val="24"/>
          <w:lang w:val="fr-FR"/>
        </w:rPr>
        <w:t>’</w:t>
      </w:r>
      <w:r w:rsidRPr="00483D6D">
        <w:rPr>
          <w:szCs w:val="24"/>
          <w:lang w:val="fr-FR"/>
        </w:rPr>
        <w:t>une déclaration unilatérale du gouvernement défendeur même si le requérant souhaite que l</w:t>
      </w:r>
      <w:r w:rsidR="00483D6D" w:rsidRPr="00483D6D">
        <w:rPr>
          <w:szCs w:val="24"/>
          <w:lang w:val="fr-FR"/>
        </w:rPr>
        <w:t>’</w:t>
      </w:r>
      <w:r w:rsidRPr="00483D6D">
        <w:rPr>
          <w:szCs w:val="24"/>
          <w:lang w:val="fr-FR"/>
        </w:rPr>
        <w:t>examen de l</w:t>
      </w:r>
      <w:r w:rsidR="00483D6D" w:rsidRPr="00483D6D">
        <w:rPr>
          <w:szCs w:val="24"/>
          <w:lang w:val="fr-FR"/>
        </w:rPr>
        <w:t>’</w:t>
      </w:r>
      <w:r w:rsidRPr="00483D6D">
        <w:rPr>
          <w:szCs w:val="24"/>
          <w:lang w:val="fr-FR"/>
        </w:rPr>
        <w:t>affaire se poursuive.</w:t>
      </w:r>
    </w:p>
    <w:p w:rsidR="000B3315" w:rsidRPr="00483D6D" w:rsidRDefault="000B3315" w:rsidP="00483D6D">
      <w:pPr>
        <w:pStyle w:val="ECHRPara"/>
        <w:rPr>
          <w:lang w:val="fr-FR"/>
        </w:rPr>
      </w:pPr>
      <w:r w:rsidRPr="00483D6D">
        <w:rPr>
          <w:lang w:val="fr-FR"/>
        </w:rPr>
        <w:t>À</w:t>
      </w:r>
      <w:r w:rsidRPr="00483D6D">
        <w:rPr>
          <w:szCs w:val="24"/>
          <w:lang w:val="fr-FR"/>
        </w:rPr>
        <w:t xml:space="preserve"> cette fin, la Cour a examiné la déclaration à la lumière des principes que consacre sa jurisprudence, en particulier l</w:t>
      </w:r>
      <w:r w:rsidR="00483D6D" w:rsidRPr="00483D6D">
        <w:rPr>
          <w:szCs w:val="24"/>
          <w:lang w:val="fr-FR"/>
        </w:rPr>
        <w:t>’</w:t>
      </w:r>
      <w:r w:rsidRPr="00483D6D">
        <w:rPr>
          <w:szCs w:val="24"/>
          <w:lang w:val="fr-FR"/>
        </w:rPr>
        <w:t xml:space="preserve">arrêt </w:t>
      </w:r>
      <w:r w:rsidRPr="00483D6D">
        <w:rPr>
          <w:i/>
          <w:lang w:val="fr-FR"/>
        </w:rPr>
        <w:t xml:space="preserve">Tahsin Acar </w:t>
      </w:r>
      <w:r w:rsidRPr="00483D6D">
        <w:rPr>
          <w:lang w:val="fr-FR"/>
        </w:rPr>
        <w:t>(</w:t>
      </w:r>
      <w:r w:rsidRPr="00483D6D">
        <w:rPr>
          <w:i/>
          <w:lang w:val="fr-FR"/>
        </w:rPr>
        <w:t>Tahsin Acar c. Turquie</w:t>
      </w:r>
      <w:r w:rsidRPr="00483D6D">
        <w:rPr>
          <w:iCs/>
          <w:lang w:val="fr-FR"/>
        </w:rPr>
        <w:t xml:space="preserve"> (question préliminaire) </w:t>
      </w:r>
      <w:r w:rsidRPr="00483D6D">
        <w:rPr>
          <w:lang w:val="fr-FR"/>
        </w:rPr>
        <w:t>[GC],</w:t>
      </w:r>
      <w:r w:rsidRPr="00483D6D">
        <w:rPr>
          <w:i/>
          <w:lang w:val="fr-FR"/>
        </w:rPr>
        <w:t xml:space="preserve"> </w:t>
      </w:r>
      <w:r w:rsidRPr="00483D6D">
        <w:rPr>
          <w:lang w:val="fr-FR"/>
        </w:rPr>
        <w:t>n</w:t>
      </w:r>
      <w:r w:rsidRPr="00483D6D">
        <w:rPr>
          <w:vertAlign w:val="superscript"/>
          <w:lang w:val="fr-FR"/>
        </w:rPr>
        <w:t xml:space="preserve">o </w:t>
      </w:r>
      <w:r w:rsidRPr="00483D6D">
        <w:rPr>
          <w:lang w:val="fr-FR"/>
        </w:rPr>
        <w:t>26307/95, §§ 75</w:t>
      </w:r>
      <w:r w:rsidRPr="00483D6D">
        <w:rPr>
          <w:lang w:val="fr-FR"/>
        </w:rPr>
        <w:noBreakHyphen/>
        <w:t>77, CEDH 2003</w:t>
      </w:r>
      <w:r w:rsidRPr="00483D6D">
        <w:rPr>
          <w:lang w:val="fr-FR"/>
        </w:rPr>
        <w:noBreakHyphen/>
        <w:t xml:space="preserve">VI, </w:t>
      </w:r>
      <w:r w:rsidRPr="00483D6D">
        <w:rPr>
          <w:i/>
          <w:szCs w:val="24"/>
          <w:lang w:val="fr-FR"/>
        </w:rPr>
        <w:t xml:space="preserve">WAZA </w:t>
      </w:r>
      <w:r w:rsidRPr="00483D6D">
        <w:rPr>
          <w:i/>
          <w:iCs/>
          <w:szCs w:val="24"/>
          <w:lang w:val="fr-FR"/>
        </w:rPr>
        <w:t>Sp. z o.o.</w:t>
      </w:r>
      <w:r w:rsidRPr="00483D6D">
        <w:rPr>
          <w:i/>
          <w:szCs w:val="24"/>
          <w:lang w:val="fr-FR"/>
        </w:rPr>
        <w:t xml:space="preserve"> c. Pologne </w:t>
      </w:r>
      <w:r w:rsidRPr="00483D6D">
        <w:rPr>
          <w:szCs w:val="24"/>
          <w:lang w:val="fr-FR"/>
        </w:rPr>
        <w:t>(déc.), n</w:t>
      </w:r>
      <w:r w:rsidRPr="00483D6D">
        <w:rPr>
          <w:szCs w:val="24"/>
          <w:vertAlign w:val="superscript"/>
          <w:lang w:val="fr-FR"/>
        </w:rPr>
        <w:t>o</w:t>
      </w:r>
      <w:r w:rsidRPr="00483D6D">
        <w:rPr>
          <w:szCs w:val="24"/>
          <w:lang w:val="fr-FR"/>
        </w:rPr>
        <w:t xml:space="preserve"> 11602/02, 26 juin 2007, et </w:t>
      </w:r>
      <w:r w:rsidRPr="00483D6D">
        <w:rPr>
          <w:i/>
          <w:szCs w:val="24"/>
          <w:lang w:val="fr-FR"/>
        </w:rPr>
        <w:t>Sulwińska c. Pologne</w:t>
      </w:r>
      <w:r w:rsidRPr="00483D6D">
        <w:rPr>
          <w:szCs w:val="24"/>
          <w:lang w:val="fr-FR"/>
        </w:rPr>
        <w:t xml:space="preserve"> (déc.), n</w:t>
      </w:r>
      <w:r w:rsidRPr="00483D6D">
        <w:rPr>
          <w:szCs w:val="24"/>
          <w:vertAlign w:val="superscript"/>
          <w:lang w:val="fr-FR"/>
        </w:rPr>
        <w:t>o</w:t>
      </w:r>
      <w:r w:rsidRPr="00483D6D">
        <w:rPr>
          <w:szCs w:val="24"/>
          <w:lang w:val="fr-FR"/>
        </w:rPr>
        <w:t xml:space="preserve"> 28953/03, 18 septembre 2007</w:t>
      </w:r>
      <w:r w:rsidRPr="00483D6D">
        <w:rPr>
          <w:lang w:val="fr-FR"/>
        </w:rPr>
        <w:t>).</w:t>
      </w:r>
    </w:p>
    <w:p w:rsidR="000B3315" w:rsidRPr="00483D6D" w:rsidRDefault="000B3315" w:rsidP="00483D6D">
      <w:pPr>
        <w:pStyle w:val="ECHRPara"/>
        <w:rPr>
          <w:i/>
          <w:iCs/>
          <w:lang w:val="fr-FR"/>
        </w:rPr>
      </w:pPr>
      <w:r w:rsidRPr="00483D6D">
        <w:rPr>
          <w:lang w:val="fr-FR"/>
        </w:rPr>
        <w:t>Eu égard à la nature des concessions que renferme la déclaration du Gouvernement, ainsi qu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au montant de l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indemnisation proposée – qui est conforme aux montants alloués dans une affaire similaire (</w:t>
      </w:r>
      <w:r w:rsidRPr="00483D6D">
        <w:rPr>
          <w:i/>
          <w:iCs/>
          <w:lang w:val="fr-FR"/>
        </w:rPr>
        <w:t xml:space="preserve">Konstantin Markin c. Russie </w:t>
      </w:r>
      <w:r w:rsidRPr="00483D6D">
        <w:rPr>
          <w:lang w:val="fr-FR"/>
        </w:rPr>
        <w:t>[GC], n</w:t>
      </w:r>
      <w:r w:rsidRPr="00483D6D">
        <w:rPr>
          <w:vertAlign w:val="superscript"/>
          <w:lang w:val="fr-FR"/>
        </w:rPr>
        <w:t>o</w:t>
      </w:r>
      <w:r w:rsidRPr="00483D6D">
        <w:rPr>
          <w:lang w:val="fr-FR"/>
        </w:rPr>
        <w:t xml:space="preserve"> 30078/06, CEDH 2012 (extraits). –, la Cour estime qu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il ne se justifie plus de poursuivre l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examen de la requête (article 37 § 1 c)).</w:t>
      </w:r>
    </w:p>
    <w:p w:rsidR="000B3315" w:rsidRPr="00483D6D" w:rsidRDefault="000B3315" w:rsidP="00483D6D">
      <w:pPr>
        <w:pStyle w:val="ECHRPara"/>
        <w:rPr>
          <w:lang w:val="fr-FR"/>
        </w:rPr>
      </w:pPr>
      <w:r w:rsidRPr="00483D6D">
        <w:rPr>
          <w:lang w:val="fr-FR"/>
        </w:rPr>
        <w:t>En outre, à la lumière des considérations qui précèdent, et eu égard en particulier à sa jurisprudence claire à ce sujet (</w:t>
      </w:r>
      <w:r w:rsidRPr="00483D6D">
        <w:rPr>
          <w:i/>
          <w:iCs/>
          <w:lang w:val="fr-FR"/>
        </w:rPr>
        <w:t xml:space="preserve">Konstantin Markin, </w:t>
      </w:r>
      <w:r w:rsidRPr="00483D6D">
        <w:rPr>
          <w:iCs/>
          <w:lang w:val="fr-FR"/>
        </w:rPr>
        <w:t>précité</w:t>
      </w:r>
      <w:r w:rsidRPr="00483D6D">
        <w:rPr>
          <w:lang w:val="fr-FR"/>
        </w:rPr>
        <w:t xml:space="preserve">; </w:t>
      </w:r>
      <w:r w:rsidRPr="00483D6D">
        <w:rPr>
          <w:i/>
          <w:iCs/>
          <w:lang w:val="fr-FR"/>
        </w:rPr>
        <w:t>Hulea c. Roumanie</w:t>
      </w:r>
      <w:r w:rsidRPr="00483D6D">
        <w:rPr>
          <w:lang w:val="fr-FR"/>
        </w:rPr>
        <w:t>, n</w:t>
      </w:r>
      <w:r w:rsidRPr="00483D6D">
        <w:rPr>
          <w:vertAlign w:val="superscript"/>
          <w:lang w:val="fr-FR"/>
        </w:rPr>
        <w:t>o</w:t>
      </w:r>
      <w:r w:rsidRPr="00483D6D">
        <w:rPr>
          <w:lang w:val="fr-FR"/>
        </w:rPr>
        <w:t xml:space="preserve"> 33411/05, 2 octobre 2012), la Cour estime que le respect des droits de l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homme garantis par la Convention et ses Protocoles n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exige pas qu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elle poursuive l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 xml:space="preserve">examen de la requête (article 37 § 1 </w:t>
      </w:r>
      <w:r w:rsidRPr="00483D6D">
        <w:rPr>
          <w:i/>
          <w:iCs/>
          <w:lang w:val="fr-FR"/>
        </w:rPr>
        <w:t>in fine</w:t>
      </w:r>
      <w:r w:rsidRPr="00483D6D">
        <w:rPr>
          <w:lang w:val="fr-FR"/>
        </w:rPr>
        <w:t>).</w:t>
      </w:r>
    </w:p>
    <w:p w:rsidR="000B3315" w:rsidRPr="00483D6D" w:rsidRDefault="000B3315" w:rsidP="00483D6D">
      <w:pPr>
        <w:pStyle w:val="ECHRPara"/>
        <w:rPr>
          <w:lang w:val="fr-FR"/>
        </w:rPr>
      </w:pPr>
      <w:r w:rsidRPr="00483D6D">
        <w:rPr>
          <w:lang w:val="fr-FR"/>
        </w:rPr>
        <w:t>Enfin, la Cour souligne que, dans le cas où le Gouvernement ne respecterait pas les termes de sa déclaration unilatérale, la requête pourrait être réinscrite au rôle en vertu de l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article 37 § 2 de la Convention (</w:t>
      </w:r>
      <w:r w:rsidRPr="00483D6D">
        <w:rPr>
          <w:i/>
          <w:lang w:val="fr-FR"/>
        </w:rPr>
        <w:t>Josipović c. Serbie</w:t>
      </w:r>
      <w:r w:rsidRPr="00483D6D">
        <w:rPr>
          <w:lang w:val="fr-FR"/>
        </w:rPr>
        <w:t xml:space="preserve"> (déc.), nº 18369/07, 4 mars 2008).</w:t>
      </w:r>
    </w:p>
    <w:p w:rsidR="000B3315" w:rsidRPr="00483D6D" w:rsidRDefault="000B3315" w:rsidP="00483D6D">
      <w:pPr>
        <w:pStyle w:val="ECHRPara"/>
        <w:rPr>
          <w:lang w:val="fr-FR"/>
        </w:rPr>
      </w:pPr>
      <w:r w:rsidRPr="00483D6D">
        <w:rPr>
          <w:lang w:val="fr-FR"/>
        </w:rPr>
        <w:t>En conséquence, il convient de rayer l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affaire du rôle.</w:t>
      </w:r>
    </w:p>
    <w:p w:rsidR="000B3315" w:rsidRPr="00483D6D" w:rsidRDefault="000B3315" w:rsidP="00483D6D">
      <w:pPr>
        <w:pStyle w:val="JuParaLast"/>
        <w:keepNext w:val="0"/>
        <w:keepLines w:val="0"/>
        <w:rPr>
          <w:lang w:val="fr-FR"/>
        </w:rPr>
      </w:pPr>
      <w:r w:rsidRPr="00483D6D">
        <w:rPr>
          <w:lang w:val="fr-FR"/>
        </w:rPr>
        <w:t>Par ces motifs, la Cour,</w:t>
      </w:r>
      <w:r w:rsidRPr="00483D6D">
        <w:rPr>
          <w:color w:val="000000"/>
          <w:lang w:val="fr-FR"/>
        </w:rPr>
        <w:t xml:space="preserve"> </w:t>
      </w:r>
      <w:r w:rsidRPr="00483D6D">
        <w:rPr>
          <w:lang w:val="fr-FR"/>
        </w:rPr>
        <w:t>à l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unanimité,</w:t>
      </w:r>
    </w:p>
    <w:p w:rsidR="000B3315" w:rsidRPr="00483D6D" w:rsidRDefault="000B3315" w:rsidP="00483D6D">
      <w:pPr>
        <w:pStyle w:val="DecList"/>
        <w:rPr>
          <w:i/>
          <w:lang w:val="fr-FR"/>
        </w:rPr>
      </w:pPr>
      <w:r w:rsidRPr="00483D6D">
        <w:rPr>
          <w:i/>
          <w:lang w:val="fr-FR"/>
        </w:rPr>
        <w:t>Prend acte</w:t>
      </w:r>
      <w:r w:rsidRPr="00483D6D">
        <w:rPr>
          <w:lang w:val="fr-FR"/>
        </w:rPr>
        <w:t xml:space="preserve"> des termes de la déclaration du gouvernement défendeur concernant les articles 8 et 14 de la Convention et des modalités prévues pour assurer le respect des engagements ainsi pris ;</w:t>
      </w:r>
    </w:p>
    <w:p w:rsidR="000B3315" w:rsidRPr="00483D6D" w:rsidRDefault="000B3315" w:rsidP="00483D6D">
      <w:pPr>
        <w:pStyle w:val="DecList"/>
        <w:rPr>
          <w:lang w:val="fr-FR"/>
        </w:rPr>
      </w:pPr>
      <w:r w:rsidRPr="00483D6D">
        <w:rPr>
          <w:i/>
          <w:lang w:val="fr-FR"/>
        </w:rPr>
        <w:t>Décide</w:t>
      </w:r>
      <w:r w:rsidRPr="00483D6D">
        <w:rPr>
          <w:lang w:val="fr-FR"/>
        </w:rPr>
        <w:t xml:space="preserve"> de rayer la requête du rôle en application de l</w:t>
      </w:r>
      <w:r w:rsidR="00483D6D" w:rsidRPr="00483D6D">
        <w:rPr>
          <w:lang w:val="fr-FR"/>
        </w:rPr>
        <w:t>’</w:t>
      </w:r>
      <w:r w:rsidRPr="00483D6D">
        <w:rPr>
          <w:lang w:val="fr-FR"/>
        </w:rPr>
        <w:t>article 37 § 1 c) de la Convention.</w:t>
      </w:r>
    </w:p>
    <w:p w:rsidR="006544C4" w:rsidRPr="00483D6D" w:rsidRDefault="006544C4" w:rsidP="00483D6D">
      <w:pPr>
        <w:pStyle w:val="ECHRPara"/>
        <w:rPr>
          <w:sz w:val="2"/>
          <w:szCs w:val="2"/>
          <w:lang w:val="fr-FR" w:eastAsia="en-GB"/>
        </w:rPr>
      </w:pPr>
    </w:p>
    <w:p w:rsidR="00050A32" w:rsidRPr="00483D6D" w:rsidRDefault="00F40988" w:rsidP="00483D6D">
      <w:pPr>
        <w:pStyle w:val="JuParaLast"/>
        <w:rPr>
          <w:lang w:val="fr-FR"/>
        </w:rPr>
      </w:pPr>
      <w:r w:rsidRPr="00483D6D">
        <w:rPr>
          <w:szCs w:val="24"/>
          <w:lang w:val="fr-FR"/>
        </w:rPr>
        <w:t xml:space="preserve">Fait en français puis communiqué par écrit le </w:t>
      </w:r>
      <w:r w:rsidR="000B3315" w:rsidRPr="00483D6D">
        <w:rPr>
          <w:szCs w:val="24"/>
          <w:lang w:val="fr-FR"/>
        </w:rPr>
        <w:t>20 avril 2017</w:t>
      </w:r>
      <w:r w:rsidRPr="00483D6D">
        <w:rPr>
          <w:lang w:val="fr-FR"/>
        </w:rPr>
        <w:t>.</w:t>
      </w:r>
    </w:p>
    <w:p w:rsidR="00234E8A" w:rsidRPr="00483D6D" w:rsidRDefault="000B3315" w:rsidP="00483D6D">
      <w:pPr>
        <w:pStyle w:val="JuSigned"/>
        <w:rPr>
          <w:lang w:val="fr-FR"/>
        </w:rPr>
      </w:pPr>
      <w:r w:rsidRPr="00483D6D">
        <w:rPr>
          <w:lang w:val="fr-FR"/>
        </w:rPr>
        <w:tab/>
        <w:t>Renata Degener</w:t>
      </w:r>
      <w:r w:rsidR="0091478F" w:rsidRPr="00483D6D">
        <w:rPr>
          <w:lang w:val="fr-FR"/>
        </w:rPr>
        <w:tab/>
      </w:r>
      <w:r w:rsidRPr="00483D6D">
        <w:rPr>
          <w:lang w:val="fr-FR"/>
        </w:rPr>
        <w:t>Ledi Bianku</w:t>
      </w:r>
      <w:r w:rsidR="00483D6D" w:rsidRPr="00483D6D">
        <w:rPr>
          <w:lang w:val="fr-FR"/>
        </w:rPr>
        <w:br/>
      </w:r>
      <w:r w:rsidRPr="00483D6D">
        <w:rPr>
          <w:lang w:val="fr-FR"/>
        </w:rPr>
        <w:t>Greffière adjointe</w:t>
      </w:r>
      <w:r w:rsidR="0091478F" w:rsidRPr="00483D6D">
        <w:rPr>
          <w:lang w:val="fr-FR"/>
        </w:rPr>
        <w:tab/>
      </w:r>
      <w:r w:rsidRPr="00483D6D">
        <w:rPr>
          <w:lang w:val="fr-FR"/>
        </w:rPr>
        <w:t>Président</w:t>
      </w:r>
    </w:p>
    <w:sectPr w:rsidR="00234E8A" w:rsidRPr="00483D6D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CF" w:rsidRPr="007A6280" w:rsidRDefault="002A71CF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2A71CF" w:rsidRPr="007A6280" w:rsidRDefault="002A71CF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15" w:rsidRPr="00150BFA" w:rsidRDefault="000B331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4300838" wp14:editId="11B7F5A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2A71CF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CF" w:rsidRPr="007A6280" w:rsidRDefault="002A71CF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2A71CF" w:rsidRPr="007A6280" w:rsidRDefault="002A71CF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0B3315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EF668C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8B0BD9">
      <w:rPr>
        <w:lang w:val="en-GB"/>
      </w:rPr>
      <w:tab/>
      <w:t xml:space="preserve">DÉCISION </w:t>
    </w:r>
    <w:r>
      <w:rPr>
        <w:lang w:val="en-GB"/>
      </w:rPr>
      <w:t>FARCHICA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  <w:rPr>
        <w:lang w:val="en-GB"/>
      </w:rPr>
    </w:pPr>
    <w:r w:rsidRPr="007A6280">
      <w:rPr>
        <w:lang w:val="fr-FR"/>
      </w:rPr>
      <w:tab/>
    </w:r>
    <w:r w:rsidRPr="008B0BD9">
      <w:rPr>
        <w:lang w:val="en-GB"/>
      </w:rPr>
      <w:t xml:space="preserve">DÉCISION </w:t>
    </w:r>
    <w:r w:rsidR="000B3315">
      <w:rPr>
        <w:lang w:val="en-GB"/>
      </w:rPr>
      <w:t>FARCHICA c. ITALIE</w:t>
    </w:r>
    <w:r w:rsidRPr="008B0BD9">
      <w:rPr>
        <w:lang w:val="en-GB"/>
      </w:rPr>
      <w:tab/>
    </w:r>
    <w:r w:rsidR="000B3315">
      <w:rPr>
        <w:rStyle w:val="Numeropagina"/>
        <w:lang w:val="en-GB"/>
      </w:rPr>
      <w:fldChar w:fldCharType="begin"/>
    </w:r>
    <w:r w:rsidR="000B3315">
      <w:rPr>
        <w:rStyle w:val="Numeropagina"/>
        <w:lang w:val="en-GB"/>
      </w:rPr>
      <w:instrText xml:space="preserve"> PAGE </w:instrText>
    </w:r>
    <w:r w:rsidR="000B3315">
      <w:rPr>
        <w:rStyle w:val="Numeropagina"/>
        <w:lang w:val="en-GB"/>
      </w:rPr>
      <w:fldChar w:fldCharType="separate"/>
    </w:r>
    <w:r w:rsidR="00EF668C">
      <w:rPr>
        <w:rStyle w:val="Numeropagina"/>
        <w:noProof/>
        <w:lang w:val="en-GB"/>
      </w:rPr>
      <w:t>3</w:t>
    </w:r>
    <w:r w:rsidR="000B3315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15" w:rsidRPr="00A45145" w:rsidRDefault="000B331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880FFE8" wp14:editId="27E6178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2A71CF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0B331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3315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A71CF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DA2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D6D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C2F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02D43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EF668C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93DB4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3A2A-3B80-4EFF-A4A5-3EDCD3595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67B57-2F11-4500-8963-B6F11C2A0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B6AF35-318A-43BC-B027-786AFAB78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1E5B9D-16C7-47CA-B899-FEA6AE13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2017-04-26T10:23:00Z</dcterms:created>
  <dcterms:modified xsi:type="dcterms:W3CDTF">2017-04-26T10:23:00Z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39600/13</vt:lpwstr>
  </property>
  <property fmtid="{D5CDD505-2E9C-101B-9397-08002B2CF9AE}" pid="4" name="CASEID">
    <vt:lpwstr>890229</vt:lpwstr>
  </property>
  <property fmtid="{D5CDD505-2E9C-101B-9397-08002B2CF9AE}" pid="5" name="ContentTypeId">
    <vt:lpwstr>0x010100558EB02BDB9E204AB350EDD385B68E10</vt:lpwstr>
  </property>
</Properties>
</file>